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6"/>
      </w:tblGrid>
      <w:tr w:rsidR="007E5EFC" w:rsidTr="007E5EFC">
        <w:tc>
          <w:tcPr>
            <w:tcW w:w="4535" w:type="dxa"/>
          </w:tcPr>
          <w:p w:rsidR="007E5EFC" w:rsidRPr="007E5EFC" w:rsidRDefault="007E5EFC" w:rsidP="007E5EFC">
            <w:pPr>
              <w:pStyle w:val="Heading1"/>
              <w:jc w:val="center"/>
              <w:rPr>
                <w:rFonts w:ascii="Times New Roman" w:eastAsia="Times New Roman" w:hAnsi="Times New Roman" w:cs="Times New Roman"/>
                <w:color w:val="000000"/>
                <w:sz w:val="24"/>
                <w:szCs w:val="24"/>
              </w:rPr>
            </w:pPr>
            <w:r w:rsidRPr="007E5EFC">
              <w:rPr>
                <w:rFonts w:ascii="Times New Roman" w:eastAsia="Times New Roman" w:hAnsi="Times New Roman" w:cs="Times New Roman"/>
                <w:color w:val="000000"/>
                <w:sz w:val="24"/>
                <w:szCs w:val="24"/>
              </w:rPr>
              <w:t>ỦY BAN NHÂN DÂN TỈNH ĐẮK NÔNG</w:t>
            </w:r>
          </w:p>
          <w:p w:rsidR="007E5EFC" w:rsidRPr="007E5EFC" w:rsidRDefault="007E5EFC" w:rsidP="007E5EFC">
            <w:pPr>
              <w:pBdr>
                <w:top w:val="nil"/>
                <w:left w:val="nil"/>
                <w:bottom w:val="nil"/>
                <w:right w:val="nil"/>
                <w:between w:val="nil"/>
              </w:pBdr>
              <w:spacing w:before="180" w:after="180"/>
              <w:jc w:val="center"/>
              <w:rPr>
                <w:rFonts w:ascii="Times New Roman" w:eastAsia="Times New Roman" w:hAnsi="Times New Roman" w:cs="Times New Roman"/>
              </w:rPr>
            </w:pPr>
            <w:r w:rsidRPr="007E5EFC">
              <w:rPr>
                <w:rFonts w:ascii="Times New Roman" w:eastAsia="Times New Roman" w:hAnsi="Times New Roman" w:cs="Times New Roman"/>
              </w:rPr>
              <w:t xml:space="preserve">Số: </w:t>
            </w:r>
            <w:r w:rsidRPr="007E5EFC">
              <w:rPr>
                <w:rFonts w:ascii="Times New Roman" w:eastAsia="Times New Roman" w:hAnsi="Times New Roman" w:cs="Times New Roman"/>
                <w:b/>
                <w:bCs/>
              </w:rPr>
              <w:t>1428</w:t>
            </w:r>
            <w:r w:rsidRPr="007E5EFC">
              <w:rPr>
                <w:rFonts w:ascii="Times New Roman" w:eastAsia="Times New Roman" w:hAnsi="Times New Roman" w:cs="Times New Roman"/>
              </w:rPr>
              <w:t xml:space="preserve"> UBND-KT</w:t>
            </w:r>
          </w:p>
          <w:p w:rsidR="007E5EFC" w:rsidRPr="007E5EFC" w:rsidRDefault="007E5EFC" w:rsidP="007E5EFC">
            <w:pPr>
              <w:pBdr>
                <w:top w:val="nil"/>
                <w:left w:val="nil"/>
                <w:bottom w:val="nil"/>
                <w:right w:val="nil"/>
                <w:between w:val="nil"/>
              </w:pBdr>
              <w:spacing w:before="180" w:after="180"/>
              <w:jc w:val="center"/>
              <w:rPr>
                <w:rFonts w:ascii="Times New Roman" w:eastAsia="Times New Roman" w:hAnsi="Times New Roman" w:cs="Times New Roman"/>
              </w:rPr>
            </w:pPr>
            <w:r w:rsidRPr="007E5EFC">
              <w:rPr>
                <w:rFonts w:ascii="Times New Roman" w:eastAsia="Times New Roman" w:hAnsi="Times New Roman" w:cs="Times New Roman"/>
              </w:rPr>
              <w:t>V/v triển khai Công văn số 1649/BCT-ĐL ngày 05/3/2025 của Bộ Công Thương về việc đề xuất danh mục các dự án nguồn và lưới đồng bộ để cập nhật trong điều chỉnh Quy hoạch điện VIII</w:t>
            </w:r>
          </w:p>
          <w:p w:rsidR="007E5EFC" w:rsidRPr="007E5EFC" w:rsidRDefault="007E5EFC" w:rsidP="007E5EFC">
            <w:pPr>
              <w:widowControl w:val="0"/>
              <w:spacing w:after="0" w:line="276" w:lineRule="auto"/>
              <w:jc w:val="center"/>
              <w:rPr>
                <w:rFonts w:ascii="Times New Roman" w:hAnsi="Times New Roman" w:cs="Times New Roman"/>
              </w:rPr>
            </w:pPr>
          </w:p>
        </w:tc>
        <w:tc>
          <w:tcPr>
            <w:tcW w:w="4536" w:type="dxa"/>
          </w:tcPr>
          <w:p w:rsidR="007E5EFC" w:rsidRPr="007E5EFC" w:rsidRDefault="007E5EFC" w:rsidP="007E5EFC">
            <w:pPr>
              <w:pStyle w:val="Heading1"/>
              <w:jc w:val="center"/>
              <w:rPr>
                <w:rFonts w:ascii="Times New Roman" w:eastAsia="Times New Roman" w:hAnsi="Times New Roman" w:cs="Times New Roman"/>
                <w:color w:val="000000"/>
                <w:sz w:val="24"/>
                <w:szCs w:val="24"/>
              </w:rPr>
            </w:pPr>
            <w:r w:rsidRPr="007E5EFC">
              <w:rPr>
                <w:rFonts w:ascii="Times New Roman" w:eastAsia="Times New Roman" w:hAnsi="Times New Roman" w:cs="Times New Roman"/>
                <w:color w:val="000000"/>
                <w:sz w:val="24"/>
                <w:szCs w:val="24"/>
              </w:rPr>
              <w:t>CỘNG HÒA XÃ HỘI CHỦ NGHĨA VIỆT NAM</w:t>
            </w:r>
          </w:p>
          <w:p w:rsidR="007E5EFC" w:rsidRPr="007E5EFC" w:rsidRDefault="007E5EFC" w:rsidP="007E5EFC">
            <w:pPr>
              <w:pStyle w:val="Heading2"/>
              <w:jc w:val="center"/>
              <w:rPr>
                <w:rFonts w:ascii="Times New Roman" w:eastAsia="Times New Roman" w:hAnsi="Times New Roman" w:cs="Times New Roman"/>
                <w:color w:val="000000"/>
                <w:sz w:val="24"/>
                <w:szCs w:val="24"/>
              </w:rPr>
            </w:pPr>
            <w:r w:rsidRPr="007E5EFC">
              <w:rPr>
                <w:rFonts w:ascii="Times New Roman" w:eastAsia="Times New Roman" w:hAnsi="Times New Roman" w:cs="Times New Roman"/>
                <w:color w:val="000000"/>
                <w:sz w:val="24"/>
                <w:szCs w:val="24"/>
              </w:rPr>
              <w:t>Độc lập - Tự do - Hạnh phúc</w:t>
            </w:r>
          </w:p>
          <w:p w:rsidR="007E5EFC" w:rsidRPr="007E5EFC" w:rsidRDefault="007E5EFC" w:rsidP="007E5EFC">
            <w:pPr>
              <w:pBdr>
                <w:top w:val="nil"/>
                <w:left w:val="nil"/>
                <w:bottom w:val="nil"/>
                <w:right w:val="nil"/>
                <w:between w:val="nil"/>
              </w:pBdr>
              <w:spacing w:before="180" w:after="180"/>
              <w:jc w:val="center"/>
              <w:rPr>
                <w:rFonts w:ascii="Times New Roman" w:eastAsia="Times New Roman" w:hAnsi="Times New Roman" w:cs="Times New Roman"/>
              </w:rPr>
            </w:pPr>
            <w:r w:rsidRPr="007E5EFC">
              <w:rPr>
                <w:rFonts w:ascii="Times New Roman" w:eastAsia="Times New Roman" w:hAnsi="Times New Roman" w:cs="Times New Roman"/>
              </w:rPr>
              <w:t xml:space="preserve">Đắk Nông, ngày </w:t>
            </w:r>
            <w:r w:rsidRPr="007E5EFC">
              <w:rPr>
                <w:rFonts w:ascii="Times New Roman" w:eastAsia="Times New Roman" w:hAnsi="Times New Roman" w:cs="Times New Roman"/>
                <w:b/>
                <w:bCs/>
              </w:rPr>
              <w:t>11</w:t>
            </w:r>
            <w:r w:rsidRPr="007E5EFC">
              <w:rPr>
                <w:rFonts w:ascii="Times New Roman" w:eastAsia="Times New Roman" w:hAnsi="Times New Roman" w:cs="Times New Roman"/>
              </w:rPr>
              <w:t xml:space="preserve"> tháng 3 năm 2025</w:t>
            </w:r>
          </w:p>
          <w:p w:rsidR="007E5EFC" w:rsidRPr="007E5EFC" w:rsidRDefault="007E5EFC" w:rsidP="007E5EFC">
            <w:pPr>
              <w:widowControl w:val="0"/>
              <w:spacing w:after="0" w:line="276" w:lineRule="auto"/>
              <w:jc w:val="center"/>
              <w:rPr>
                <w:rFonts w:ascii="Times New Roman" w:hAnsi="Times New Roman" w:cs="Times New Roman"/>
              </w:rPr>
            </w:pPr>
          </w:p>
        </w:tc>
      </w:tr>
    </w:tbl>
    <w:p w:rsidR="007E5EFC" w:rsidRDefault="007E5EFC">
      <w:pPr>
        <w:widowControl w:val="0"/>
        <w:pBdr>
          <w:top w:val="nil"/>
          <w:left w:val="nil"/>
          <w:bottom w:val="nil"/>
          <w:right w:val="nil"/>
          <w:between w:val="nil"/>
        </w:pBdr>
        <w:spacing w:after="0" w:line="276" w:lineRule="auto"/>
      </w:pPr>
    </w:p>
    <w:tbl>
      <w:tblPr>
        <w:tblStyle w:val="TableGrid"/>
        <w:tblW w:w="0" w:type="auto"/>
        <w:tblBorders>
          <w:top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6"/>
      </w:tblGrid>
      <w:tr w:rsidR="007E5EFC" w:rsidTr="007E5EFC">
        <w:tc>
          <w:tcPr>
            <w:tcW w:w="4535" w:type="dxa"/>
          </w:tcPr>
          <w:p w:rsidR="007E5EFC" w:rsidRPr="007E5EFC" w:rsidRDefault="007E5EFC" w:rsidP="007E5EFC">
            <w:pPr>
              <w:pStyle w:val="Heading1"/>
              <w:jc w:val="center"/>
              <w:rPr>
                <w:rFonts w:ascii="Times New Roman" w:eastAsia="Times New Roman" w:hAnsi="Times New Roman" w:cs="Times New Roman"/>
                <w:color w:val="000000"/>
                <w:sz w:val="24"/>
                <w:szCs w:val="24"/>
              </w:rPr>
            </w:pPr>
            <w:r w:rsidRPr="007E5EFC">
              <w:rPr>
                <w:rFonts w:ascii="Times New Roman" w:eastAsia="Times New Roman" w:hAnsi="Times New Roman" w:cs="Times New Roman"/>
                <w:color w:val="000000"/>
                <w:sz w:val="24"/>
                <w:szCs w:val="24"/>
              </w:rPr>
              <w:t>PEOPLE'S COMMITTEE OF ĐẮK NÔNG PROVINCE</w:t>
            </w:r>
          </w:p>
          <w:p w:rsidR="007E5EFC" w:rsidRPr="007E5EFC" w:rsidRDefault="007E5EFC" w:rsidP="007E5EFC">
            <w:pPr>
              <w:pBdr>
                <w:top w:val="nil"/>
                <w:left w:val="nil"/>
                <w:bottom w:val="nil"/>
                <w:right w:val="nil"/>
                <w:between w:val="nil"/>
              </w:pBdr>
              <w:spacing w:before="180" w:after="180"/>
              <w:jc w:val="center"/>
              <w:rPr>
                <w:rFonts w:ascii="Times New Roman" w:eastAsia="Times New Roman" w:hAnsi="Times New Roman" w:cs="Times New Roman"/>
              </w:rPr>
            </w:pPr>
            <w:r w:rsidRPr="007E5EFC">
              <w:rPr>
                <w:rFonts w:ascii="Times New Roman" w:eastAsia="Times New Roman" w:hAnsi="Times New Roman" w:cs="Times New Roman"/>
              </w:rPr>
              <w:t>No.: 1428 UBND-KT</w:t>
            </w:r>
          </w:p>
          <w:p w:rsidR="007E5EFC" w:rsidRPr="007E5EFC" w:rsidRDefault="007E5EFC" w:rsidP="007E5EFC">
            <w:pPr>
              <w:pBdr>
                <w:top w:val="nil"/>
                <w:left w:val="nil"/>
                <w:bottom w:val="nil"/>
                <w:right w:val="nil"/>
                <w:between w:val="nil"/>
              </w:pBdr>
              <w:spacing w:before="180" w:after="180"/>
              <w:jc w:val="center"/>
              <w:rPr>
                <w:rFonts w:ascii="Times New Roman" w:eastAsia="Times New Roman" w:hAnsi="Times New Roman" w:cs="Times New Roman"/>
              </w:rPr>
            </w:pPr>
            <w:r w:rsidRPr="007E5EFC">
              <w:rPr>
                <w:rFonts w:ascii="Times New Roman" w:eastAsia="Times New Roman" w:hAnsi="Times New Roman" w:cs="Times New Roman"/>
              </w:rPr>
              <w:t>Subject: Implementation of Official Letter No. 1649/BCT-ĐL dated March 5, 2025, from the Ministry of Industry and Trade regarding the proposal of a list of synchronized power generation and grid projects for updating the revised Power Master Plan VIII</w:t>
            </w:r>
          </w:p>
          <w:p w:rsidR="007E5EFC" w:rsidRPr="007E5EFC" w:rsidRDefault="007E5EFC" w:rsidP="007E5EFC">
            <w:pPr>
              <w:widowControl w:val="0"/>
              <w:spacing w:after="0" w:line="276" w:lineRule="auto"/>
              <w:jc w:val="center"/>
            </w:pPr>
          </w:p>
        </w:tc>
        <w:tc>
          <w:tcPr>
            <w:tcW w:w="4536" w:type="dxa"/>
          </w:tcPr>
          <w:p w:rsidR="007E5EFC" w:rsidRPr="007E5EFC" w:rsidRDefault="007E5EFC" w:rsidP="007E5EFC">
            <w:pPr>
              <w:pStyle w:val="Heading1"/>
              <w:jc w:val="center"/>
              <w:rPr>
                <w:rFonts w:ascii="Times New Roman" w:eastAsia="Times New Roman" w:hAnsi="Times New Roman" w:cs="Times New Roman"/>
                <w:color w:val="000000"/>
                <w:sz w:val="24"/>
                <w:szCs w:val="24"/>
              </w:rPr>
            </w:pPr>
            <w:r w:rsidRPr="007E5EFC">
              <w:rPr>
                <w:rFonts w:ascii="Times New Roman" w:eastAsia="Times New Roman" w:hAnsi="Times New Roman" w:cs="Times New Roman"/>
                <w:color w:val="000000"/>
                <w:sz w:val="24"/>
                <w:szCs w:val="24"/>
              </w:rPr>
              <w:t>SOCIALIST REPUBLIC OF VIETNAM</w:t>
            </w:r>
          </w:p>
          <w:p w:rsidR="007E5EFC" w:rsidRPr="007E5EFC" w:rsidRDefault="007E5EFC" w:rsidP="007E5EFC">
            <w:pPr>
              <w:pStyle w:val="Heading2"/>
              <w:jc w:val="center"/>
              <w:rPr>
                <w:rFonts w:ascii="Times New Roman" w:eastAsia="Times New Roman" w:hAnsi="Times New Roman" w:cs="Times New Roman"/>
                <w:color w:val="000000"/>
                <w:sz w:val="24"/>
                <w:szCs w:val="24"/>
              </w:rPr>
            </w:pPr>
            <w:r w:rsidRPr="007E5EFC">
              <w:rPr>
                <w:rFonts w:ascii="Times New Roman" w:eastAsia="Times New Roman" w:hAnsi="Times New Roman" w:cs="Times New Roman"/>
                <w:color w:val="000000"/>
                <w:sz w:val="24"/>
                <w:szCs w:val="24"/>
              </w:rPr>
              <w:t>Independence - Freedom - Happiness</w:t>
            </w:r>
          </w:p>
          <w:p w:rsidR="007E5EFC" w:rsidRPr="007E5EFC" w:rsidRDefault="007E5EFC" w:rsidP="007E5EFC">
            <w:pPr>
              <w:pBdr>
                <w:top w:val="nil"/>
                <w:left w:val="nil"/>
                <w:bottom w:val="nil"/>
                <w:right w:val="nil"/>
                <w:between w:val="nil"/>
              </w:pBdr>
              <w:spacing w:before="180" w:after="180"/>
              <w:jc w:val="center"/>
              <w:rPr>
                <w:rFonts w:ascii="Times New Roman" w:eastAsia="Times New Roman" w:hAnsi="Times New Roman" w:cs="Times New Roman"/>
              </w:rPr>
            </w:pPr>
            <w:r w:rsidRPr="007E5EFC">
              <w:rPr>
                <w:rFonts w:ascii="Times New Roman" w:eastAsia="Times New Roman" w:hAnsi="Times New Roman" w:cs="Times New Roman"/>
              </w:rPr>
              <w:t>Dak Nong, March 11, 2025</w:t>
            </w:r>
          </w:p>
          <w:p w:rsidR="007E5EFC" w:rsidRPr="007E5EFC" w:rsidRDefault="007E5EFC" w:rsidP="007E5EFC">
            <w:pPr>
              <w:widowControl w:val="0"/>
              <w:spacing w:after="0" w:line="276" w:lineRule="auto"/>
              <w:jc w:val="center"/>
              <w:rPr>
                <w:rFonts w:ascii="Times New Roman" w:hAnsi="Times New Roman" w:cs="Times New Roman"/>
              </w:rPr>
            </w:pPr>
          </w:p>
        </w:tc>
      </w:tr>
    </w:tbl>
    <w:p w:rsidR="003C3870" w:rsidRPr="007E5EFC" w:rsidRDefault="00083AC3" w:rsidP="007E5EFC">
      <w:pPr>
        <w:widowControl w:val="0"/>
        <w:pBdr>
          <w:top w:val="nil"/>
          <w:left w:val="nil"/>
          <w:bottom w:val="nil"/>
          <w:right w:val="nil"/>
          <w:between w:val="nil"/>
        </w:pBdr>
        <w:spacing w:after="0" w:line="276" w:lineRule="auto"/>
      </w:pPr>
      <w:r>
        <w:pict w14:anchorId="5F21303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margin-left:0;margin-top:0;width:50pt;height:50pt;z-index:251656704;visibility:hidden;mso-position-horizontal-relative:text;mso-position-vertical-relative:text">
            <o:lock v:ext="edit" selection="t"/>
          </v:shape>
        </w:pict>
      </w:r>
      <w:r>
        <w:pict w14:anchorId="1743C530">
          <v:shape id="_x0000_s1027" type="#_x0000_t136" style="position:absolute;margin-left:0;margin-top:0;width:50pt;height:50pt;z-index:251657728;visibility:hidden;mso-position-horizontal-relative:text;mso-position-vertical-relative:text">
            <o:lock v:ext="edit" selection="t"/>
          </v:shape>
        </w:pict>
      </w:r>
      <w:r>
        <w:pict w14:anchorId="3012FF36">
          <v:shape id="_x0000_s1026" type="#_x0000_t136" style="position:absolute;margin-left:0;margin-top:0;width:50pt;height:50pt;z-index:251658752;visibility:hidden;mso-position-horizontal-relative:text;mso-position-vertical-relative:text">
            <o:lock v:ext="edit" selection="t"/>
          </v:shape>
        </w:pict>
      </w:r>
      <w:bookmarkStart w:id="0" w:name="_GoBack"/>
      <w:bookmarkEnd w:id="0"/>
      <w:r>
        <w:rPr>
          <w:rFonts w:ascii="Times New Roman" w:eastAsia="Times New Roman" w:hAnsi="Times New Roman" w:cs="Times New Roman"/>
        </w:rPr>
        <w:t>Kính gửi: Bộ Công Thương.</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To: Ministry of Industry and Trade.</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Thực hiện chỉ đạo của Bộ Công Thương tại Công văn số 1649/BCT-ĐL ngày 05/3/2025 về việc</w:t>
      </w:r>
      <w:r>
        <w:rPr>
          <w:rFonts w:ascii="Times New Roman" w:eastAsia="Times New Roman" w:hAnsi="Times New Roman" w:cs="Times New Roman"/>
        </w:rPr>
        <w:t xml:space="preserve"> đề xuất danh mục các dự án nguồn và lưới đồng bộ để cập nhật trong điều chỉnh Quy hoạch điện VIII; Công văn số 1702/BCT-ĐL ngày 09/3/2025 về việc cung cấp danh mục các dự án nguồn và lưới điện đồng bộ để cập nhật trong Điều chỉnh Quy hoạch điện VIII; xét </w:t>
      </w:r>
      <w:r>
        <w:rPr>
          <w:rFonts w:ascii="Times New Roman" w:eastAsia="Times New Roman" w:hAnsi="Times New Roman" w:cs="Times New Roman"/>
        </w:rPr>
        <w:t>đề nghị của Sở Công Thương tại Công văn số 328/SCT-QLNL ngày 11/3/2025; UBND tỉnh Đắk Nông báo cáo như sau:</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 xml:space="preserve">Pursuant to the direction of the Ministry of Industry and Trade in Official Letter No. 1649/BCT-ĐL dated March 5, 2025, regarding the proposal of a </w:t>
      </w:r>
      <w:r>
        <w:rPr>
          <w:rFonts w:ascii="Times New Roman" w:eastAsia="Times New Roman" w:hAnsi="Times New Roman" w:cs="Times New Roman"/>
        </w:rPr>
        <w:t xml:space="preserve">list of synchronized power generation and grid projects for updating the revised Power Master Plan VIII; Official Letter No. 1702/BCT-ĐL dated March 9, 2025, regarding the provision of a list of synchronized power generation and grid projects for updating </w:t>
      </w:r>
      <w:r>
        <w:rPr>
          <w:rFonts w:ascii="Times New Roman" w:eastAsia="Times New Roman" w:hAnsi="Times New Roman" w:cs="Times New Roman"/>
        </w:rPr>
        <w:t>the revised Power Master Plan VIII; and considering the proposal of the Department of Industry and Trade in Official Letter No. 328/SCT-QLNL dated March 11, 2025; the People's Committee of Đắk Nông Province reports as follows:</w:t>
      </w:r>
    </w:p>
    <w:p w:rsidR="003C3870" w:rsidRDefault="00083AC3">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 Về thủy điện nhỏ</w:t>
      </w:r>
    </w:p>
    <w:p w:rsidR="003C3870" w:rsidRDefault="00083AC3">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1. Regarding small hydropower</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Theo công suất phân bố cho tỉnh Đắk Nông tại Quyết định số 262/QĐ-TTg ngày 01/4/2024 của Thủ tướng Chính phủ về phê duyệt Quy hoạch điện VIII, công suất tăng thêm đến năm 2030 là 76MW, trong đó có dự án Đắk Sor 4 công suất 8,8</w:t>
      </w:r>
      <w:r>
        <w:rPr>
          <w:rFonts w:ascii="Times New Roman" w:eastAsia="Times New Roman" w:hAnsi="Times New Roman" w:cs="Times New Roman"/>
        </w:rPr>
        <w:t>MW. Như vậy công suất còn lại đã được phân bố thuộc Quy hoạch điện VIII nhưng chưa được phê duyệt là 67,2MW.</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According to the capacity allocated to Đắk Nông Province in Decision No. 262/QD-TTg dated April 1, 2024, of the Prime Minister on approving Power M</w:t>
      </w:r>
      <w:r>
        <w:rPr>
          <w:rFonts w:ascii="Times New Roman" w:eastAsia="Times New Roman" w:hAnsi="Times New Roman" w:cs="Times New Roman"/>
        </w:rPr>
        <w:t>aster Plan VIII, the additional capacity until 2030 is 76 MW, including the Đắk Sor 4 project with a capacity of 8.8 MW. Thus, the remaining allocated capacity under Power Master Plan VIII but not yet approved is 67.2 MW.</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 xml:space="preserve">Theo Công văn số 1649/BCT-ĐL ngày </w:t>
      </w:r>
      <w:r>
        <w:rPr>
          <w:rFonts w:ascii="Times New Roman" w:eastAsia="Times New Roman" w:hAnsi="Times New Roman" w:cs="Times New Roman"/>
        </w:rPr>
        <w:t>05/3/2025 của Bộ Công Thương, công suất thủy điện nhỏ tăng thêm giai đoạn 2025-2030 là 84,6MW. Như vậy Tổng công suất thủy điện nhỏ phân bố cho tỉnh Đắk Nông (bao gồm công suất đã được phân bố và công suất tăng thêm) là 151,8MW.</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According to Official Lette</w:t>
      </w:r>
      <w:r>
        <w:rPr>
          <w:rFonts w:ascii="Times New Roman" w:eastAsia="Times New Roman" w:hAnsi="Times New Roman" w:cs="Times New Roman"/>
        </w:rPr>
        <w:t>r No. 1649/BCT-ĐL dated March 5, 2025, from the Ministry of Industry and Trade, the additional small hydropower capacity for the 2025-2030 period is 84.6 MW. Thus, the total small hydropower capacity allocated to Đắk Nông Province (including allocated capa</w:t>
      </w:r>
      <w:r>
        <w:rPr>
          <w:rFonts w:ascii="Times New Roman" w:eastAsia="Times New Roman" w:hAnsi="Times New Roman" w:cs="Times New Roman"/>
        </w:rPr>
        <w:t>city and additional capacity) is 151.8 MW.</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Theo hướng dẫn của Bộ Công Thương tại Công văn nêu trên, các tiêu chí đề xuất các dự án có tiêu chí kế thừa các dự án đã được quy hoạch, cấp chủ trương đầu tư, do vậy đề xuất danh mục gồm 04 dự án: Đắk Keh, Đắk Gl</w:t>
      </w:r>
      <w:r>
        <w:rPr>
          <w:rFonts w:ascii="Times New Roman" w:eastAsia="Times New Roman" w:hAnsi="Times New Roman" w:cs="Times New Roman"/>
        </w:rPr>
        <w:t xml:space="preserve">un 2, Đắk Glun 3, Đắk Buk So 1 như </w:t>
      </w:r>
      <w:r>
        <w:rPr>
          <w:rFonts w:ascii="Times New Roman" w:eastAsia="Times New Roman" w:hAnsi="Times New Roman" w:cs="Times New Roman"/>
          <w:i/>
          <w:iCs/>
        </w:rPr>
        <w:t>Phụ lục 1</w:t>
      </w:r>
      <w:r>
        <w:rPr>
          <w:rFonts w:ascii="Times New Roman" w:eastAsia="Times New Roman" w:hAnsi="Times New Roman" w:cs="Times New Roman"/>
        </w:rPr>
        <w:t xml:space="preserve"> kèm theo.</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Following the guidance of the Ministry of Industry and Trade in the aforementioned Official Letter, the criteria for proposing projects include inheriting projects that have already been planned and granted investment policy approval. Therefore, the propos</w:t>
      </w:r>
      <w:r>
        <w:rPr>
          <w:rFonts w:ascii="Times New Roman" w:eastAsia="Times New Roman" w:hAnsi="Times New Roman" w:cs="Times New Roman"/>
        </w:rPr>
        <w:t>ed list includes 04 projects: Đắk Keh, Đắk Glun 2, Đắk Glun 3, and Đắk Buk So 1, as detailed in Appendix 1 attached hereto.</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Phần công suất còn lại 124MW tỉnh sẽ tiếp tục rà soát, đăng ký danh mục cụ thể khi các dự án thủy điện nhỏ đánh giá đầy đủ các yếu t</w:t>
      </w:r>
      <w:r>
        <w:rPr>
          <w:rFonts w:ascii="Times New Roman" w:eastAsia="Times New Roman" w:hAnsi="Times New Roman" w:cs="Times New Roman"/>
        </w:rPr>
        <w:t>ố có liên quan.</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For the remaining capacity of 124 MW, the province will continue to review and register the specific list when the small hydropower projects fully assess the relevant factors.</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Ngoài ra, theo Công văn số 1649/BCT-ĐL ngày 05/3/2025 của Bộ Côn</w:t>
      </w:r>
      <w:r>
        <w:rPr>
          <w:rFonts w:ascii="Times New Roman" w:eastAsia="Times New Roman" w:hAnsi="Times New Roman" w:cs="Times New Roman"/>
        </w:rPr>
        <w:t xml:space="preserve">g Thương chỉ phân bố công suất cho các dự án thủy điện nhỏ. Do đó đề nghị Bộ Công Thương xem xét các dự án thủy điện có qui mô công suất lớn (thuỷ điện Đắk R’Lấp 1, Đắk R’Lấp 2) thuộc danh mục quy hoạch điện tiềm năng tại Quyết định số 500/QĐ-TTg như </w:t>
      </w:r>
      <w:r>
        <w:rPr>
          <w:rFonts w:ascii="Times New Roman" w:eastAsia="Times New Roman" w:hAnsi="Times New Roman" w:cs="Times New Roman"/>
          <w:i/>
          <w:iCs/>
        </w:rPr>
        <w:t>Phụ l</w:t>
      </w:r>
      <w:r>
        <w:rPr>
          <w:rFonts w:ascii="Times New Roman" w:eastAsia="Times New Roman" w:hAnsi="Times New Roman" w:cs="Times New Roman"/>
          <w:i/>
          <w:iCs/>
        </w:rPr>
        <w:t>ục 5</w:t>
      </w:r>
      <w:r>
        <w:rPr>
          <w:rFonts w:ascii="Times New Roman" w:eastAsia="Times New Roman" w:hAnsi="Times New Roman" w:cs="Times New Roman"/>
        </w:rPr>
        <w:t>.</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Furthermore, Official Letter No. 1649/BCT-ĐL dated March 5, 2025, from the Ministry of Industry and Trade only allocates capacity for small hydropower projects. Therefore, it is requested that the Ministry of Industry and Trade consider large-scale h</w:t>
      </w:r>
      <w:r>
        <w:rPr>
          <w:rFonts w:ascii="Times New Roman" w:eastAsia="Times New Roman" w:hAnsi="Times New Roman" w:cs="Times New Roman"/>
        </w:rPr>
        <w:t>ydropower projects (Đắk R’Lấp 1 and Đắk R’Lấp 2 Hydropower Plants) which are included in the potential power planning list under Decision No. 500/QD-TTg, as detailed in Appendix 5.</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2</w:t>
      </w:r>
    </w:p>
    <w:p w:rsidR="003C3870" w:rsidRDefault="00083AC3">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2. Về điện mặt trời.</w:t>
      </w:r>
    </w:p>
    <w:p w:rsidR="003C3870" w:rsidRDefault="00083AC3">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2. Regarding solar power.</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Theo Quy hoạch điện VIII đ</w:t>
      </w:r>
      <w:r>
        <w:rPr>
          <w:rFonts w:ascii="Times New Roman" w:eastAsia="Times New Roman" w:hAnsi="Times New Roman" w:cs="Times New Roman"/>
        </w:rPr>
        <w:t>ược duyệt tại Quyết định số 500/QĐ-TTg, tỉnh Đắk Nông có 04 dự án: KN Buôn Tua Srah (312MW), Cư Knia (144MW), EaTling (76MW), Xuyên Hà (104MW) (các dự án này xem xét sau 2030); dự án điện mặt trời Đức An (30MW) được phê duyệt thuộc Quy hoạch Phát triển điệ</w:t>
      </w:r>
      <w:r>
        <w:rPr>
          <w:rFonts w:ascii="Times New Roman" w:eastAsia="Times New Roman" w:hAnsi="Times New Roman" w:cs="Times New Roman"/>
        </w:rPr>
        <w:t xml:space="preserve">n lực tỉnh Đắk Nông giai đoạn 2016-2030, đã được UBND tỉnh cấp chủ trương đầu tư. Tổng công suất các dự án điện mặt trời đã được quy hoạch nêu trên là 666MW, các dự án này đã được Thủ tướng Chính phủ phê duyệt bổ sung vào Quy hoạch điện VII điều chỉnh tại </w:t>
      </w:r>
      <w:r>
        <w:rPr>
          <w:rFonts w:ascii="Times New Roman" w:eastAsia="Times New Roman" w:hAnsi="Times New Roman" w:cs="Times New Roman"/>
        </w:rPr>
        <w:t xml:space="preserve">Công văn số 1632/TTg-CN ngày 20/11/2020 về việc bổ sung danh mục các dự án điện mặt trời vào quy hoạch phát triển điện lực và Công văn số 1870/TTg-CN ngày 31/12/2020 về việc bổ sung quy hoạch các dự án điện mặt trời trên mặt hồ thuộc các tỉnh Đắk Lắk, Đắk </w:t>
      </w:r>
      <w:r>
        <w:rPr>
          <w:rFonts w:ascii="Times New Roman" w:eastAsia="Times New Roman" w:hAnsi="Times New Roman" w:cs="Times New Roman"/>
        </w:rPr>
        <w:t>Nông, Gia Lai, Kon Tum và Đồng Nai…, do vậy đề nghị tiếp tục đề xuất trong giai đoạn 2025-2030.</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According to Power Master Plan VIII approved in Decision No. 500/QD-TTg, Đắk Nông Province has 04 projects: KN Buôn Tua Srah (312 MW), Cư Knia (144 MW), EaTling</w:t>
      </w:r>
      <w:r>
        <w:rPr>
          <w:rFonts w:ascii="Times New Roman" w:eastAsia="Times New Roman" w:hAnsi="Times New Roman" w:cs="Times New Roman"/>
        </w:rPr>
        <w:t xml:space="preserve"> (76 MW), Xuyên Hà (104 MW) (these projects are considered for post-2030); the Đức An solar power project (30 MW) was approved under the Đắk Nông Provincial Power Development Plan for the 2016-2030 period and has been granted investment policy approval by </w:t>
      </w:r>
      <w:r>
        <w:rPr>
          <w:rFonts w:ascii="Times New Roman" w:eastAsia="Times New Roman" w:hAnsi="Times New Roman" w:cs="Times New Roman"/>
        </w:rPr>
        <w:t>the Provincial People's Committee. The total capacity of the aforementioned planned solar power projects is 666 MW. These projects were approved by the Prime Minister for inclusion in the revised Power Master Plan VII via Official Letter No. 1632/TTg-CN da</w:t>
      </w:r>
      <w:r>
        <w:rPr>
          <w:rFonts w:ascii="Times New Roman" w:eastAsia="Times New Roman" w:hAnsi="Times New Roman" w:cs="Times New Roman"/>
        </w:rPr>
        <w:t>ted November 20, 2020, regarding the addition of solar power projects to the power development plan, and Official Letter No. 1870/TTg-CN dated December 31, 2020, regarding the planning addition of solar power projects on lake surfaces in Đắk Lắk, Đắk Nông,</w:t>
      </w:r>
      <w:r>
        <w:rPr>
          <w:rFonts w:ascii="Times New Roman" w:eastAsia="Times New Roman" w:hAnsi="Times New Roman" w:cs="Times New Roman"/>
        </w:rPr>
        <w:t xml:space="preserve"> Gia Lai, Kon Tum, and Đồng Nai provinces, etc. Therefore, it is proposed that these projects continue to be proposed for the 2025-2030 period.</w:t>
      </w:r>
    </w:p>
    <w:p w:rsidR="003C3870" w:rsidRDefault="00083AC3">
      <w:pPr>
        <w:numPr>
          <w:ilvl w:val="0"/>
          <w:numId w:val="1"/>
        </w:numPr>
        <w:rPr>
          <w:rFonts w:ascii="Times New Roman" w:eastAsia="Times New Roman" w:hAnsi="Times New Roman" w:cs="Times New Roman"/>
        </w:rPr>
      </w:pPr>
      <w:r>
        <w:rPr>
          <w:rFonts w:ascii="Times New Roman" w:eastAsia="Times New Roman" w:hAnsi="Times New Roman" w:cs="Times New Roman"/>
        </w:rPr>
        <w:t xml:space="preserve">Giai đoạn 2025-2030, Danh mục gồm 16 dự án, với tổng công suất 1.245MW như </w:t>
      </w:r>
      <w:r>
        <w:rPr>
          <w:rFonts w:ascii="Times New Roman" w:eastAsia="Times New Roman" w:hAnsi="Times New Roman" w:cs="Times New Roman"/>
          <w:i/>
          <w:iCs/>
        </w:rPr>
        <w:t>Phụ lục 2</w:t>
      </w:r>
      <w:r>
        <w:rPr>
          <w:rFonts w:ascii="Times New Roman" w:eastAsia="Times New Roman" w:hAnsi="Times New Roman" w:cs="Times New Roman"/>
        </w:rPr>
        <w:t xml:space="preserve"> kèm theo. Phù hợp với quy m</w:t>
      </w:r>
      <w:r>
        <w:rPr>
          <w:rFonts w:ascii="Times New Roman" w:eastAsia="Times New Roman" w:hAnsi="Times New Roman" w:cs="Times New Roman"/>
        </w:rPr>
        <w:t>ô công suất được phân bổ của Bộ Công Thương tại Công văn số 1649/BCT-ĐL ngày 05/3/2025.</w:t>
      </w:r>
    </w:p>
    <w:p w:rsidR="003C3870" w:rsidRDefault="00083AC3">
      <w:pPr>
        <w:numPr>
          <w:ilvl w:val="0"/>
          <w:numId w:val="1"/>
        </w:numPr>
        <w:rPr>
          <w:rFonts w:ascii="Times New Roman" w:eastAsia="Times New Roman" w:hAnsi="Times New Roman" w:cs="Times New Roman"/>
        </w:rPr>
      </w:pPr>
      <w:r>
        <w:rPr>
          <w:rFonts w:ascii="Times New Roman" w:eastAsia="Times New Roman" w:hAnsi="Times New Roman" w:cs="Times New Roman"/>
        </w:rPr>
        <w:t>For the 2025-2030 period, the list includes 16 projects, with a total capacity of 1,245MW, as detailed in Appendix 2 attached. This aligns with the allocated capacity s</w:t>
      </w:r>
      <w:r>
        <w:rPr>
          <w:rFonts w:ascii="Times New Roman" w:eastAsia="Times New Roman" w:hAnsi="Times New Roman" w:cs="Times New Roman"/>
        </w:rPr>
        <w:t>cale from the Ministry of Industry and Trade in Official Letter No. 1649/BCT-ĐL dated March 5, 2025.</w:t>
      </w:r>
    </w:p>
    <w:p w:rsidR="003C3870" w:rsidRDefault="00083AC3">
      <w:pPr>
        <w:numPr>
          <w:ilvl w:val="0"/>
          <w:numId w:val="1"/>
        </w:numPr>
        <w:rPr>
          <w:rFonts w:ascii="Times New Roman" w:eastAsia="Times New Roman" w:hAnsi="Times New Roman" w:cs="Times New Roman"/>
        </w:rPr>
      </w:pPr>
      <w:r>
        <w:rPr>
          <w:rFonts w:ascii="Times New Roman" w:eastAsia="Times New Roman" w:hAnsi="Times New Roman" w:cs="Times New Roman"/>
        </w:rPr>
        <w:t>Về phương án đấu nối các dự án: Các dự án mới đề xuất (điện mặt trời nổi trên hồ thủy lợi, hồ thủy điện) tính toán sơ bộ phương án đấu nối; theo ý kiến của</w:t>
      </w:r>
      <w:r>
        <w:rPr>
          <w:rFonts w:ascii="Times New Roman" w:eastAsia="Times New Roman" w:hAnsi="Times New Roman" w:cs="Times New Roman"/>
        </w:rPr>
        <w:t xml:space="preserve"> Công ty Điện lực Đắk Nông tại Công văn số 1185/ĐNoPC-KT ngày 07/3/2025, nếu các dự án đấu nối vào lưới điện 110kV sẽ dẫn đến quá tải lưới điện và theo ý kiến của Truyền tải điện Đắk Nông tại Công văn số 313/TTĐĐN-KT ngày 11/3/2025, các tuyến đường dây 220</w:t>
      </w:r>
      <w:r>
        <w:rPr>
          <w:rFonts w:ascii="Times New Roman" w:eastAsia="Times New Roman" w:hAnsi="Times New Roman" w:cs="Times New Roman"/>
        </w:rPr>
        <w:t xml:space="preserve">kV hiệu hữu đang vận hành thường xuyên đầy tải và quá tải, khả năng tiếp nhận các dự án nguồn nêu trên là không đáp ứng. Việc đấu nối các dự án nêu trên vào lưới điện 110kV, 220kV sẽ dẫn đến quá tải lưới điện. Đề nghị Bộ Công Thương xem xét, tính toán quy </w:t>
      </w:r>
      <w:r>
        <w:rPr>
          <w:rFonts w:ascii="Times New Roman" w:eastAsia="Times New Roman" w:hAnsi="Times New Roman" w:cs="Times New Roman"/>
        </w:rPr>
        <w:t>hoạch lưới điện truyền tải, bổ sung quy hoạch trạm biến áp 220kV-500MVA đảm bảo đồng bộ với công suất phân bổ cho địa phương nhằm đảm bảo giải tỏa công suất của các dự án.</w:t>
      </w:r>
    </w:p>
    <w:p w:rsidR="003C3870" w:rsidRDefault="00083AC3">
      <w:pPr>
        <w:numPr>
          <w:ilvl w:val="0"/>
          <w:numId w:val="1"/>
        </w:numPr>
        <w:rPr>
          <w:rFonts w:ascii="Times New Roman" w:eastAsia="Times New Roman" w:hAnsi="Times New Roman" w:cs="Times New Roman"/>
        </w:rPr>
      </w:pPr>
      <w:r>
        <w:rPr>
          <w:rFonts w:ascii="Times New Roman" w:eastAsia="Times New Roman" w:hAnsi="Times New Roman" w:cs="Times New Roman"/>
        </w:rPr>
        <w:lastRenderedPageBreak/>
        <w:t>Regarding the project interconnection plan: The newly proposed projects (floating so</w:t>
      </w:r>
      <w:r>
        <w:rPr>
          <w:rFonts w:ascii="Times New Roman" w:eastAsia="Times New Roman" w:hAnsi="Times New Roman" w:cs="Times New Roman"/>
        </w:rPr>
        <w:t>lar power on irrigation reservoirs, hydropower reservoirs) have preliminary interconnection plans calculated; according to the opinion of Dak Nong Power Company in Official Letter No. 1185/ĐNoPC-KT dated March 7, 2025, if these projects connect to the 110k</w:t>
      </w:r>
      <w:r>
        <w:rPr>
          <w:rFonts w:ascii="Times New Roman" w:eastAsia="Times New Roman" w:hAnsi="Times New Roman" w:cs="Times New Roman"/>
        </w:rPr>
        <w:t xml:space="preserve">V power grid, it will lead to grid overload. Furthermore, according to the opinion of Dak Nong Power Transmission Company in Official Letter No. 313/TTĐĐN-KT dated March 11, 2025, the existing 220kV transmission lines are frequently operating at full load </w:t>
      </w:r>
      <w:r>
        <w:rPr>
          <w:rFonts w:ascii="Times New Roman" w:eastAsia="Times New Roman" w:hAnsi="Times New Roman" w:cs="Times New Roman"/>
        </w:rPr>
        <w:t>and overloaded, meaning the capacity to receive the aforementioned generation projects is insufficient. Connecting the above-mentioned projects to the 110kV and 220kV power grids will result in grid overload. It is requested that the Ministry of Industry a</w:t>
      </w:r>
      <w:r>
        <w:rPr>
          <w:rFonts w:ascii="Times New Roman" w:eastAsia="Times New Roman" w:hAnsi="Times New Roman" w:cs="Times New Roman"/>
        </w:rPr>
        <w:t>nd Trade consider and calculate the transmission grid planning, and supplement the planning with a 220kV-500MVA substation to ensure synchronization with the capacity allocated to the locality, thereby guaranteeing the power evacuation of the projects.</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Đối</w:t>
      </w:r>
      <w:r>
        <w:rPr>
          <w:rFonts w:ascii="Times New Roman" w:eastAsia="Times New Roman" w:hAnsi="Times New Roman" w:cs="Times New Roman"/>
        </w:rPr>
        <w:t xml:space="preserve"> với Dự án cụm nhà máy điện mặt trời Sao Mai Đắk Nông có công suất 875MWp, đã được UBND tỉnh báo cáo, đề nghị Thủ tướng Chính phủ bổ sung vào Quy hoạch tại Công văn số 373/TTr-UBND ngày 21/01/2021, đề nghị Bộ Công Thương quan tâm, hỗ trợ đưa vào giai đoạn </w:t>
      </w:r>
      <w:r>
        <w:rPr>
          <w:rFonts w:ascii="Times New Roman" w:eastAsia="Times New Roman" w:hAnsi="Times New Roman" w:cs="Times New Roman"/>
        </w:rPr>
        <w:t>2025-2030 hoặc giai đoạn 2031-2035 (phô tô văn bản kèm theo).</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Regarding the Sao Mai Dak Nong solar power plant cluster project with a capacity of 875MWp, which the Provincial People's Committee reported and requested the Prime Minister to include in the Ma</w:t>
      </w:r>
      <w:r>
        <w:rPr>
          <w:rFonts w:ascii="Times New Roman" w:eastAsia="Times New Roman" w:hAnsi="Times New Roman" w:cs="Times New Roman"/>
        </w:rPr>
        <w:t>ster Plan via Official Letter No. 373/TTr-UBND dated January 21, 2021, we request the Ministry of Industry and Trade to consider and support its inclusion in the 2025-2030 period or the 2031-2035 period (photocopy of the attached document).</w:t>
      </w:r>
    </w:p>
    <w:p w:rsidR="003C3870" w:rsidRDefault="00083AC3">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 xml:space="preserve">Giai đoạn 2031-2035: Danh mục các dự án tiềm năng như </w:t>
      </w:r>
      <w:r>
        <w:rPr>
          <w:rFonts w:ascii="Times New Roman" w:eastAsia="Times New Roman" w:hAnsi="Times New Roman" w:cs="Times New Roman"/>
          <w:i/>
          <w:iCs/>
        </w:rPr>
        <w:t>Phụ lục 4</w:t>
      </w:r>
      <w:r>
        <w:rPr>
          <w:rFonts w:ascii="Times New Roman" w:eastAsia="Times New Roman" w:hAnsi="Times New Roman" w:cs="Times New Roman"/>
        </w:rPr>
        <w:t xml:space="preserve"> kèm theo, trong đó cần xem xét, đánh giá kỹ lưỡng về tác động môi trường, đất đai, ảnh hưởng liên quan, phương án đấu nối và khả năng giải tỏa công suất.</w:t>
      </w:r>
    </w:p>
    <w:p w:rsidR="003C3870" w:rsidRDefault="00083AC3">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2031-2035 Period: The list of potentia</w:t>
      </w:r>
      <w:r>
        <w:rPr>
          <w:rFonts w:ascii="Times New Roman" w:eastAsia="Times New Roman" w:hAnsi="Times New Roman" w:cs="Times New Roman"/>
        </w:rPr>
        <w:t>l projects is provided in Appendix 4 attached, which requires careful consideration and thorough assessment of environmental impact, land use, related effects, interconnection plans, and power evacuation capacity.</w:t>
      </w:r>
    </w:p>
    <w:p w:rsidR="003C3870" w:rsidRDefault="00083AC3">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3. Điện gió</w:t>
      </w:r>
    </w:p>
    <w:p w:rsidR="003C3870" w:rsidRDefault="00083AC3">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3. Wind Power</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Theo công suất p</w:t>
      </w:r>
      <w:r>
        <w:rPr>
          <w:rFonts w:ascii="Times New Roman" w:eastAsia="Times New Roman" w:hAnsi="Times New Roman" w:cs="Times New Roman"/>
        </w:rPr>
        <w:t>hân bổ cho tỉnh Đắk Nông tại Quyết định số 262/QĐ-TTg ngày 01/4/2024 của Thủ tướng Chính phủ về phê duyệt Quy hoạch điện VIII, công suất tăng thêm đến năm 2030 là 680MW; theo Quyết định số 1682/QĐ-TTg ngày 28/12/2024 của Thủ tướng Chính phủ về phê duyệt bổ</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According to the capacity allocated to Dak Nong province in Decision No. 262/QĐ-TTg dated April 1, 2024, of the Prime Minister on approving Power Master Plan VIII, the additional capacity until 2030 is 680MW; according to Decision No. 1682/QĐ-TTg dated De</w:t>
      </w:r>
      <w:r>
        <w:rPr>
          <w:rFonts w:ascii="Times New Roman" w:eastAsia="Times New Roman" w:hAnsi="Times New Roman" w:cs="Times New Roman"/>
        </w:rPr>
        <w:t>cember 28, 2024, of the Prime Minister on approving the supplement</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3</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 xml:space="preserve">sung, cập nhật Kế hoạch thực hiện Quy hoạch phát triển điện lực quốc gia thời kỳ 2021 - 2030, tầm nhìn đến năm 2050, trong đó có 02 dự án điện gió Tuy Đức và Tuy Đức 10, tổng </w:t>
      </w:r>
      <w:r>
        <w:rPr>
          <w:rFonts w:ascii="Times New Roman" w:eastAsia="Times New Roman" w:hAnsi="Times New Roman" w:cs="Times New Roman"/>
        </w:rPr>
        <w:lastRenderedPageBreak/>
        <w:t>công suất 110MW. Như vậy công suất còn lại đã được phân bổ thuộc Quy hoạch điện V</w:t>
      </w:r>
      <w:r>
        <w:rPr>
          <w:rFonts w:ascii="Times New Roman" w:eastAsia="Times New Roman" w:hAnsi="Times New Roman" w:cs="Times New Roman"/>
        </w:rPr>
        <w:t>III nhưng chưa được phê duyệt danh mục cụ thể là 570MW.</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and update of the National Power Development Plan Implementation Plan for the period 2021 - 2030, with a vision to 2050, which includes 02 wind power projects, Tuy Duc and Tuy Duc 10, with a total cap</w:t>
      </w:r>
      <w:r>
        <w:rPr>
          <w:rFonts w:ascii="Times New Roman" w:eastAsia="Times New Roman" w:hAnsi="Times New Roman" w:cs="Times New Roman"/>
        </w:rPr>
        <w:t>acity of 110MW. Thus, the remaining allocated capacity under Power Master Plan VIII, for which specific projects have not yet been approved, is 570MW.</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Theo phân bổ của Bộ Công Thương, giai đoạn 2025-2030 bổ sung 200MW, như vậy tổng công suất chưa phân bổ d</w:t>
      </w:r>
      <w:r>
        <w:rPr>
          <w:rFonts w:ascii="Times New Roman" w:eastAsia="Times New Roman" w:hAnsi="Times New Roman" w:cs="Times New Roman"/>
        </w:rPr>
        <w:t>anh mục là 770MW. Theo hướng dẫn của Bộ Công Thương tại Công văn nêu trên, các tiêu chí đề xuất các dự án có tiêu chí kế thừa các dự án đã được quy hoạch, cấp chủ trương đầu tư, do vậy đề xuất danh mục gồm 05 dự án, tổng công suất 380MW, gồm: Dự án điện gi</w:t>
      </w:r>
      <w:r>
        <w:rPr>
          <w:rFonts w:ascii="Times New Roman" w:eastAsia="Times New Roman" w:hAnsi="Times New Roman" w:cs="Times New Roman"/>
        </w:rPr>
        <w:t>ó Nam Bình 1 (30MW), đã thi công hoàn thành, chưa vận hành thương mại; Dự án điện gió Đắk N’Đrung 1, 2, 3 (300MW), đang thi công; Dự án điện gió Asia Đắk Song 1 (50MW) đã được UBND tỉnh chấp thuận chủ trương đầu tư, chưa thi công như Phụ lục 3 kèm theo.</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Ac</w:t>
      </w:r>
      <w:r>
        <w:rPr>
          <w:rFonts w:ascii="Times New Roman" w:eastAsia="Times New Roman" w:hAnsi="Times New Roman" w:cs="Times New Roman"/>
        </w:rPr>
        <w:t>cording to the allocation by the Ministry of Industry and Trade, an additional 200MW is supplemented for the 2025-2030 period, bringing the total unallocated capacity to 770MW. Following the guidance of the Ministry of Industry and Trade in the aforementio</w:t>
      </w:r>
      <w:r>
        <w:rPr>
          <w:rFonts w:ascii="Times New Roman" w:eastAsia="Times New Roman" w:hAnsi="Times New Roman" w:cs="Times New Roman"/>
        </w:rPr>
        <w:t>ned Official Letter, the criteria for proposing projects prioritize those that inherit previously planned projects or those that have received investment policy approval. Therefore, a list of 05 projects with a total capacity of 380MW is proposed, includin</w:t>
      </w:r>
      <w:r>
        <w:rPr>
          <w:rFonts w:ascii="Times New Roman" w:eastAsia="Times New Roman" w:hAnsi="Times New Roman" w:cs="Times New Roman"/>
        </w:rPr>
        <w:t>g: Nam Binh 1 Wind Power Project (30MW), which has been completed but is not yet in commercial operation; Dak N'Drung 1, 2, 3 Wind Power Project (300MW), currently under construction; and Asia Dak Song 1 Wind Power Project (50MW), which has received invest</w:t>
      </w:r>
      <w:r>
        <w:rPr>
          <w:rFonts w:ascii="Times New Roman" w:eastAsia="Times New Roman" w:hAnsi="Times New Roman" w:cs="Times New Roman"/>
        </w:rPr>
        <w:t>ment policy approval from the Provincial People's Committee but has not yet commenced construction, as detailed in Appendix 3 attached.</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(Phụ lục 3 gồm 07 dự án, trong đó 02 dự án đã có trong Quy hoạch, Kế hoạch thực hiện quy hoạch nhưng chưa được phê duyệt</w:t>
      </w:r>
      <w:r>
        <w:rPr>
          <w:rFonts w:ascii="Times New Roman" w:eastAsia="Times New Roman" w:hAnsi="Times New Roman" w:cs="Times New Roman"/>
        </w:rPr>
        <w:t xml:space="preserve"> phương án đấu nối, 05 dự án chưa có trong quy hoạch VIII được phân bổ công suất).</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(Appendix 3 includes 07 projects, of which 02 projects are already in the Master Plan and the Master Plan Implementation Plan but have not had their interconnection plans ap</w:t>
      </w:r>
      <w:r>
        <w:rPr>
          <w:rFonts w:ascii="Times New Roman" w:eastAsia="Times New Roman" w:hAnsi="Times New Roman" w:cs="Times New Roman"/>
        </w:rPr>
        <w:t>proved, and 05 projects are not yet in Power Master Plan VIII but have been allocated capacity).</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Theo tiêu chí của Bộ Công Thương, các dự án điện gió trên địa bàn tỉnh đều thuộc khu vực quy hoạch bộ xít và khu vực dự trữ khoáng sản; do đó phần công suất ch</w:t>
      </w:r>
      <w:r>
        <w:rPr>
          <w:rFonts w:ascii="Times New Roman" w:eastAsia="Times New Roman" w:hAnsi="Times New Roman" w:cs="Times New Roman"/>
        </w:rPr>
        <w:t>ưa phân bổ 390MW sẽ tiếp tục nghiên cứu, đề xuất đảm bảo theo quy định.</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According to the criteria set by the Ministry of Industry and Trade, all wind power projects in the province fall within the planned bauxite area and mineral reserve area; therefore, t</w:t>
      </w:r>
      <w:r>
        <w:rPr>
          <w:rFonts w:ascii="Times New Roman" w:eastAsia="Times New Roman" w:hAnsi="Times New Roman" w:cs="Times New Roman"/>
        </w:rPr>
        <w:t>he remaining unallocated capacity of 390MW will continue to be studied and proposed in compliance with regulations.</w:t>
      </w:r>
    </w:p>
    <w:p w:rsidR="003C3870" w:rsidRDefault="00083AC3">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4. Điện mặt trời mái nhà.</w:t>
      </w:r>
    </w:p>
    <w:p w:rsidR="003C3870" w:rsidRDefault="00083AC3">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4. Rooftop Solar Power.</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Theo quyết định số 262/QĐ-TTg ngày 01/4/2024 của Thủ tướng Chính phủ về phê duyệt Kế hoạch thực hiện Quy hoạch phát triển điện lực quốc gia thời kỳ 2021-2030, tầm nhìn đến 2050, công suất nguồn điện mặt trời mái nhà của tỉnh Đắk Nông đến năm 2030 là 9MW; t</w:t>
      </w:r>
      <w:r>
        <w:rPr>
          <w:rFonts w:ascii="Times New Roman" w:eastAsia="Times New Roman" w:hAnsi="Times New Roman" w:cs="Times New Roman"/>
        </w:rPr>
        <w:t xml:space="preserve">heo </w:t>
      </w:r>
      <w:r>
        <w:rPr>
          <w:rFonts w:ascii="Times New Roman" w:eastAsia="Times New Roman" w:hAnsi="Times New Roman" w:cs="Times New Roman"/>
        </w:rPr>
        <w:lastRenderedPageBreak/>
        <w:t>Công văn số 1649/BCT-ĐL ngày 05/3/2025 của Bộ Công Thương, công suất nguồn điện mặt trời mái nhà tăng thêm cho tỉnh Đắk Nông giai đoạn 2025-3030 là 50MW.</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According to Decision No. 262/QD-TTg dated April 1, 2024, of the Prime Minister on approving the I</w:t>
      </w:r>
      <w:r>
        <w:rPr>
          <w:rFonts w:ascii="Times New Roman" w:eastAsia="Times New Roman" w:hAnsi="Times New Roman" w:cs="Times New Roman"/>
        </w:rPr>
        <w:t xml:space="preserve">mplementation Plan for the National Power Development Plan for the period 2021-2030, with a vision to 2050, the rooftop solar power capacity for Đắk Nông province until 2030 is 9 MW; according to Official Letter No. 1649/BCT-ĐL dated March 5, 2025, of the </w:t>
      </w:r>
      <w:r>
        <w:rPr>
          <w:rFonts w:ascii="Times New Roman" w:eastAsia="Times New Roman" w:hAnsi="Times New Roman" w:cs="Times New Roman"/>
        </w:rPr>
        <w:t>Ministry of Industry and Trade, the additional rooftop solar power capacity allocated to Đắk Nông province for the 2025-3030 period is 50 MW.</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 xml:space="preserve">Qua rà soát hiện nay chưa có cụ thể từng công trình điện mặt trời mái nhà, do vậy đề nghị Bộ Công Thương tiếp tục </w:t>
      </w:r>
      <w:r>
        <w:rPr>
          <w:rFonts w:ascii="Times New Roman" w:eastAsia="Times New Roman" w:hAnsi="Times New Roman" w:cs="Times New Roman"/>
        </w:rPr>
        <w:t>phân bổ công suất tăng thêm cho tỉnh Đắk Nông giai đoạn 2025-3030 là 50MW để có cơ sở phát triển nguồn điện mặt trời mái nhà tự sản xuất, tự tiêu thụ có đấu nối lưới điện quốc gia theo quy định tại Nghị định số 58/2025/NĐ-CP ngày 03/3/2025 của Chính phủ qu</w:t>
      </w:r>
      <w:r>
        <w:rPr>
          <w:rFonts w:ascii="Times New Roman" w:eastAsia="Times New Roman" w:hAnsi="Times New Roman" w:cs="Times New Roman"/>
        </w:rPr>
        <w:t>y định một số điều của Luật Điện lực về phát triển điện năng lượng tái tạo, năng lượng mới.</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Through review, there are currently no specific individual rooftop solar power projects; therefore, we request the Ministry of Industry and Trade to continue alloca</w:t>
      </w:r>
      <w:r>
        <w:rPr>
          <w:rFonts w:ascii="Times New Roman" w:eastAsia="Times New Roman" w:hAnsi="Times New Roman" w:cs="Times New Roman"/>
        </w:rPr>
        <w:t xml:space="preserve">ting the additional capacity of 50 MW to Đắk Nông province for the 2025-3030 period to serve as a basis for developing self-produced, self-consumed rooftop solar power sources connected to the national power grid, as stipulated in Decree No. 58/2025/ND-CP </w:t>
      </w:r>
      <w:r>
        <w:rPr>
          <w:rFonts w:ascii="Times New Roman" w:eastAsia="Times New Roman" w:hAnsi="Times New Roman" w:cs="Times New Roman"/>
        </w:rPr>
        <w:t>dated March 3, 2025, of the Government, which regulates a number of articles of the Electricity Law concerning the development of renewable energy and new energy power.</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Ngoài các nội dung nêu trên, thực hiện chỉ đạo của Bộ Công Thương tại công văn 10698/BC</w:t>
      </w:r>
      <w:r>
        <w:rPr>
          <w:rFonts w:ascii="Times New Roman" w:eastAsia="Times New Roman" w:hAnsi="Times New Roman" w:cs="Times New Roman"/>
        </w:rPr>
        <w:t>T-ĐL ngày 28/12/2024, UBND tỉnh Đắk Nông đã cung cấp thông tin tại Công văn số 167/UBND-KT ngày 08/01/2025; Công văn số 818/UBND-KT ngày 14/02/2025; tuy nhiên thời gian qua một số nhà đầu tư tiếp tục đề xuất nghiên cứu, khảo sát các dự án điện gió, điện mặ</w:t>
      </w:r>
      <w:r>
        <w:rPr>
          <w:rFonts w:ascii="Times New Roman" w:eastAsia="Times New Roman" w:hAnsi="Times New Roman" w:cs="Times New Roman"/>
        </w:rPr>
        <w:t>t trời. Do đó, UBND tỉnh Đắk Nông cung cấp bổ sung thông tin các dự án tiềm năng trên địa</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In addition to the above contents, implementing the direction of the Ministry of Industry and Trade in Official Letter 10698/BCT-ĐL dated December 28, 2024, the Peopl</w:t>
      </w:r>
      <w:r>
        <w:rPr>
          <w:rFonts w:ascii="Times New Roman" w:eastAsia="Times New Roman" w:hAnsi="Times New Roman" w:cs="Times New Roman"/>
        </w:rPr>
        <w:t>e's Committee of Đắk Nông Province provided information in Official Letter No. 167/UBND-KT dated January 8, 2025; Official Letter No. 818/UBND-KT dated February 14, 2025; however, recently, some investors have continued to propose studying and surveying wi</w:t>
      </w:r>
      <w:r>
        <w:rPr>
          <w:rFonts w:ascii="Times New Roman" w:eastAsia="Times New Roman" w:hAnsi="Times New Roman" w:cs="Times New Roman"/>
        </w:rPr>
        <w:t>nd power and solar power projects. Therefore, the People's Committee of Đắk Nông Province provides supplementary information on potential projects in the</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 xml:space="preserve">bàn tỉnh Đắk Nông như </w:t>
      </w:r>
      <w:r>
        <w:rPr>
          <w:rFonts w:ascii="Times New Roman" w:eastAsia="Times New Roman" w:hAnsi="Times New Roman" w:cs="Times New Roman"/>
          <w:i/>
          <w:iCs/>
        </w:rPr>
        <w:t>Phụ lục 4</w:t>
      </w:r>
      <w:r>
        <w:rPr>
          <w:rFonts w:ascii="Times New Roman" w:eastAsia="Times New Roman" w:hAnsi="Times New Roman" w:cs="Times New Roman"/>
        </w:rPr>
        <w:t xml:space="preserve"> đính kèm, đề nghị Bộ Công Thương tiếp tục quan tâm, xem xét.</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area of Đ</w:t>
      </w:r>
      <w:r>
        <w:rPr>
          <w:rFonts w:ascii="Times New Roman" w:eastAsia="Times New Roman" w:hAnsi="Times New Roman" w:cs="Times New Roman"/>
        </w:rPr>
        <w:t>ắk Nông province as attached in Appendix 4, and requests the Ministry of Industry and Trade to continue its attention and consideration.</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UBND tỉnh Đắk Nông báo cáo Bộ Công Thương xem xét, quyết định./.</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The People's Committee of Đắk Nông Province reports to</w:t>
      </w:r>
      <w:r>
        <w:rPr>
          <w:rFonts w:ascii="Times New Roman" w:eastAsia="Times New Roman" w:hAnsi="Times New Roman" w:cs="Times New Roman"/>
        </w:rPr>
        <w:t xml:space="preserve"> the Ministry of Industry and Trade for consideration and decision./.</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b/>
          <w:bCs/>
        </w:rPr>
        <w:t>Nơi nhận:</w:t>
      </w:r>
      <w:r>
        <w:rPr>
          <w:rFonts w:ascii="Times New Roman" w:eastAsia="Times New Roman" w:hAnsi="Times New Roman" w:cs="Times New Roman"/>
        </w:rPr>
        <w:t xml:space="preserve"> - Như trên; - CT, các PCT UBND tỉnh; - CVP, các PCVP UBND tỉnh; - Sở Công Thương; - Lưu: VT, KT (H)</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lastRenderedPageBreak/>
        <w:t>Recipients: - As above; - Chairman, Vice Chairmen of the Provincial People's Committee; - Chief of Office, Vice Chiefs of Office of the Provincial People's Committee; - Department of Industry and Trade; - Filing: Office, KT (H)</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114300" distR="114300">
            <wp:extent cx="5092700" cy="3759200"/>
            <wp:effectExtent l="0" t="0" r="0" b="0"/>
            <wp:docPr id="1932551689"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5092700" cy="3759200"/>
                    </a:xfrm>
                    <a:prstGeom prst="rect">
                      <a:avLst/>
                    </a:prstGeom>
                    <a:ln/>
                  </pic:spPr>
                </pic:pic>
              </a:graphicData>
            </a:graphic>
          </wp:inline>
        </w:drawing>
      </w:r>
      <w:r>
        <w:rPr>
          <w:rFonts w:ascii="Times New Roman" w:eastAsia="Times New Roman" w:hAnsi="Times New Roman" w:cs="Times New Roman"/>
        </w:rPr>
        <w:t xml:space="preserve"> KT. CHỦ TỊCH PHÓ CHỦ TỊCH</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114300" distR="114300">
            <wp:extent cx="5092700" cy="3759200"/>
            <wp:effectExtent l="0" t="0" r="0" b="0"/>
            <wp:docPr id="193255169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5092700" cy="3759200"/>
                    </a:xfrm>
                    <a:prstGeom prst="rect">
                      <a:avLst/>
                    </a:prstGeom>
                    <a:ln/>
                  </pic:spPr>
                </pic:pic>
              </a:graphicData>
            </a:graphic>
          </wp:inline>
        </w:drawing>
      </w:r>
      <w:r>
        <w:rPr>
          <w:rFonts w:ascii="Times New Roman" w:eastAsia="Times New Roman" w:hAnsi="Times New Roman" w:cs="Times New Roman"/>
        </w:rPr>
        <w:t>FOR THE CHAIRMAN, VICE CHAIRMAN</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noProof/>
          <w:lang w:val="en-US"/>
        </w:rPr>
        <w:lastRenderedPageBreak/>
        <w:drawing>
          <wp:inline distT="0" distB="0" distL="114300" distR="114300">
            <wp:extent cx="3746500" cy="2590800"/>
            <wp:effectExtent l="0" t="0" r="0" b="0"/>
            <wp:docPr id="193255169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3746500" cy="2590800"/>
                    </a:xfrm>
                    <a:prstGeom prst="rect">
                      <a:avLst/>
                    </a:prstGeom>
                    <a:ln/>
                  </pic:spPr>
                </pic:pic>
              </a:graphicData>
            </a:graphic>
          </wp:inline>
        </w:drawing>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Phu lọc 1: Danh mục dự án thủy điện nhỏ đề xuất phát triển trong tổng công suất phân bố tăng thêm cho địa phương (Kèm theo Công văn số/427/UBND-KT ngày 4 tháng 3 năm 2025 của UBND tỉnh Đắk Nông)</w:t>
      </w:r>
    </w:p>
    <w:p w:rsidR="003C3870" w:rsidRDefault="00083AC3">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 xml:space="preserve">Appendix 1: List of small </w:t>
      </w:r>
      <w:r>
        <w:rPr>
          <w:rFonts w:ascii="Times New Roman" w:eastAsia="Times New Roman" w:hAnsi="Times New Roman" w:cs="Times New Roman"/>
        </w:rPr>
        <w:t>hydropower projects proposed for development within the total additional capacity allocated to the locality (Attached to Official Letter No./427/UBND-KT dated March 4, 2025, of the People's Committee of Đắk Nông Province)</w:t>
      </w:r>
    </w:p>
    <w:tbl>
      <w:tblPr>
        <w:tblStyle w:val="a"/>
        <w:tblW w:w="9287" w:type="dxa"/>
        <w:tblInd w:w="-108" w:type="dxa"/>
        <w:tblLayout w:type="fixed"/>
        <w:tblLook w:val="0020" w:firstRow="1" w:lastRow="0" w:firstColumn="0" w:lastColumn="0" w:noHBand="0" w:noVBand="0"/>
      </w:tblPr>
      <w:tblGrid>
        <w:gridCol w:w="844"/>
        <w:gridCol w:w="845"/>
        <w:gridCol w:w="845"/>
        <w:gridCol w:w="845"/>
        <w:gridCol w:w="844"/>
        <w:gridCol w:w="844"/>
        <w:gridCol w:w="844"/>
        <w:gridCol w:w="844"/>
        <w:gridCol w:w="844"/>
        <w:gridCol w:w="844"/>
        <w:gridCol w:w="844"/>
      </w:tblGrid>
      <w:tr w:rsidR="003C3870" w:rsidTr="003C3870">
        <w:trPr>
          <w:cnfStyle w:val="100000000000" w:firstRow="1" w:lastRow="0" w:firstColumn="0" w:lastColumn="0" w:oddVBand="0" w:evenVBand="0" w:oddHBand="0" w:evenHBand="0" w:firstRowFirstColumn="0" w:firstRowLastColumn="0" w:lastRowFirstColumn="0" w:lastRowLastColumn="0"/>
          <w:tblHeader/>
        </w:trPr>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STT</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No.</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Tên dự án</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Project Name</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Phân loại</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Classification</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Công suất (MW)</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Capacity (MW)</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Năm/giải đoạn vận hành</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Year/Phase of Operation</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Tổng mức đầu tư (tỷ VNĐ)</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Total Investment (billion VND)</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Cấp điện áp đầu nối (kV)</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Connection Voltage Level (kV)</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Mô tả ngắn gọn phương án đầu nối dự kiến</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Bri</w:t>
            </w:r>
            <w:r>
              <w:rPr>
                <w:rFonts w:ascii="Times New Roman" w:eastAsia="Times New Roman" w:hAnsi="Times New Roman" w:cs="Times New Roman"/>
              </w:rPr>
              <w:t>ef description of the proposed connection scheme</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Sự phù hợp với quy hoạch</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Conformity with the Plan</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Tình hình triển khai hiện nay</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Current Implementation Status</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Ghi chú</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Notes</w:t>
            </w:r>
          </w:p>
        </w:tc>
      </w:tr>
      <w:tr w:rsidR="003C3870" w:rsidTr="003C3870">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(1)</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(3)</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(4)</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(5)</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(6)</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(7)</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(8)</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(9)</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(10)</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(11)</w:t>
            </w:r>
          </w:p>
        </w:tc>
      </w:tr>
      <w:tr w:rsidR="003C3870" w:rsidTr="003C3870">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 xml:space="preserve">Các dự án Thủy điện nhỏ đã có trong QHD </w:t>
            </w:r>
            <w:r>
              <w:rPr>
                <w:rFonts w:ascii="Times New Roman" w:eastAsia="Times New Roman" w:hAnsi="Times New Roman" w:cs="Times New Roman"/>
              </w:rPr>
              <w:lastRenderedPageBreak/>
              <w:t>VIII, KH thực hiện QHD VIII nhưng chưa phê duyệt phương án đầu nối/cần điều chỉnh phương án đầu nối</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 xml:space="preserve">Small Hydropower Projects already included in PDP VIII and </w:t>
            </w:r>
            <w:r>
              <w:rPr>
                <w:rFonts w:ascii="Times New Roman" w:eastAsia="Times New Roman" w:hAnsi="Times New Roman" w:cs="Times New Roman"/>
              </w:rPr>
              <w:lastRenderedPageBreak/>
              <w:t>the Implementation Plan for PDP VIII but whose connection scheme has not yet been approved/needs adjustment</w:t>
            </w:r>
          </w:p>
        </w:tc>
        <w:tc>
          <w:tcPr>
            <w:tcW w:w="845"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5"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5"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r>
      <w:tr w:rsidR="003C3870" w:rsidTr="003C3870">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lastRenderedPageBreak/>
              <w:t>1</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Thủy điện Đắk Sor 4</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Đắk Sor 4 Hydropower</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Thủy điện nhỏ</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Small Hydropower</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8,8</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2025-2030</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320</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22kV</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 xml:space="preserve">Đầu nối vào lưới điện 22kV khu vực dự án; quá </w:t>
            </w:r>
            <w:r>
              <w:rPr>
                <w:rFonts w:ascii="Times New Roman" w:eastAsia="Times New Roman" w:hAnsi="Times New Roman" w:cs="Times New Roman"/>
              </w:rPr>
              <w:lastRenderedPageBreak/>
              <w:t>trình thực hiện dự án sẽ xác định cụ thể vị trí đầu nối</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Connection to the 22 kV power grid in the project area; the specific connection location will be determined during projec</w:t>
            </w:r>
            <w:r>
              <w:rPr>
                <w:rFonts w:ascii="Times New Roman" w:eastAsia="Times New Roman" w:hAnsi="Times New Roman" w:cs="Times New Roman"/>
              </w:rPr>
              <w:lastRenderedPageBreak/>
              <w:t>t implementati</w:t>
            </w:r>
            <w:r>
              <w:rPr>
                <w:rFonts w:ascii="Times New Roman" w:eastAsia="Times New Roman" w:hAnsi="Times New Roman" w:cs="Times New Roman"/>
              </w:rPr>
              <w:t>on</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lastRenderedPageBreak/>
              <w:t>Đã có tại danh mục nguồn Quyết định số 262/QĐ-</w:t>
            </w:r>
            <w:r>
              <w:rPr>
                <w:rFonts w:ascii="Times New Roman" w:eastAsia="Times New Roman" w:hAnsi="Times New Roman" w:cs="Times New Roman"/>
              </w:rPr>
              <w:lastRenderedPageBreak/>
              <w:t>TTg (hoặc QĐ 1682/QĐ-TTg)</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Already included in the source list of Decision No. 262/QD-TTg (or Decision 1682/QD-TTg)</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lastRenderedPageBreak/>
              <w:t xml:space="preserve">Đã có Quyết định chủ trương đầu tư; đang lập Báo </w:t>
            </w:r>
            <w:r>
              <w:rPr>
                <w:rFonts w:ascii="Times New Roman" w:eastAsia="Times New Roman" w:hAnsi="Times New Roman" w:cs="Times New Roman"/>
              </w:rPr>
              <w:lastRenderedPageBreak/>
              <w:t>cáo nghiên cứu khả thi</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Investment policy de</w:t>
            </w:r>
            <w:r>
              <w:rPr>
                <w:rFonts w:ascii="Times New Roman" w:eastAsia="Times New Roman" w:hAnsi="Times New Roman" w:cs="Times New Roman"/>
              </w:rPr>
              <w:t>cision has been issued; Feasibility Study Report is being prepared</w:t>
            </w: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r>
      <w:tr w:rsidR="003C3870" w:rsidTr="003C3870">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lastRenderedPageBreak/>
              <w:t>Các dự án Thủy điện nhỏ chưa có trong QHD VIII được phân bổ tăng thêm</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 xml:space="preserve">Small Hydropower Projects not yet included in PDP VIII that are </w:t>
            </w:r>
            <w:r>
              <w:rPr>
                <w:rFonts w:ascii="Times New Roman" w:eastAsia="Times New Roman" w:hAnsi="Times New Roman" w:cs="Times New Roman"/>
              </w:rPr>
              <w:lastRenderedPageBreak/>
              <w:t>allocated additional capacity</w:t>
            </w:r>
          </w:p>
        </w:tc>
        <w:tc>
          <w:tcPr>
            <w:tcW w:w="845"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5"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5"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c>
          <w:tcPr>
            <w:tcW w:w="844" w:type="dxa"/>
          </w:tcPr>
          <w:p w:rsidR="003C3870" w:rsidRDefault="003C3870">
            <w:pPr>
              <w:pBdr>
                <w:top w:val="nil"/>
                <w:left w:val="nil"/>
                <w:bottom w:val="nil"/>
                <w:right w:val="nil"/>
                <w:between w:val="nil"/>
              </w:pBdr>
              <w:spacing w:before="36" w:after="36"/>
              <w:rPr>
                <w:rFonts w:ascii="Times New Roman" w:eastAsia="Times New Roman" w:hAnsi="Times New Roman" w:cs="Times New Roman"/>
              </w:rPr>
            </w:pPr>
          </w:p>
        </w:tc>
      </w:tr>
      <w:tr w:rsidR="003C3870" w:rsidTr="003C3870">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lastRenderedPageBreak/>
              <w:t>1</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Đắk R’keh</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Thủy điện nhỏ</w:t>
            </w:r>
          </w:p>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Small Hydropower</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5</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2026-2030</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128</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22kV</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Đầu nối vào lưới điện 22kV khu vực dự án; quá trình thực hiện dự án sẽ xác định cụ thể vị trí đầu nối</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Được phê duyệt thuộc Quy hoạch thủy điện nhỏ tỉnh Đắk Nông; đang thi công.</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Đã cấp chủ trương đầu tư, đ</w:t>
            </w:r>
            <w:r>
              <w:rPr>
                <w:rFonts w:ascii="Times New Roman" w:eastAsia="Times New Roman" w:hAnsi="Times New Roman" w:cs="Times New Roman"/>
              </w:rPr>
              <w:t>ang thi công</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Có 18 ha nằm trong ranh giới tọa độ khép góp quy hoạch bô xít; 2,3 ha nằm trong khu vực dự trữ khoáng sản bô xít</w:t>
            </w:r>
          </w:p>
        </w:tc>
      </w:tr>
      <w:tr w:rsidR="003C3870" w:rsidTr="003C3870">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Đắk Glun 2</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Thủy điện nhỏ</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3,9</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2026-2030</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112</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22kV</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 xml:space="preserve">Đầu nối vào lưới </w:t>
            </w:r>
            <w:r>
              <w:rPr>
                <w:rFonts w:ascii="Times New Roman" w:eastAsia="Times New Roman" w:hAnsi="Times New Roman" w:cs="Times New Roman"/>
              </w:rPr>
              <w:lastRenderedPageBreak/>
              <w:t>điện 22kV khu vực dự án; quá trình thực hiện dự án sẽ xác định cụ thể vị trí đầu nối</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lastRenderedPageBreak/>
              <w:t xml:space="preserve">Được phê duyệt thuộc </w:t>
            </w:r>
            <w:r>
              <w:rPr>
                <w:rFonts w:ascii="Times New Roman" w:eastAsia="Times New Roman" w:hAnsi="Times New Roman" w:cs="Times New Roman"/>
              </w:rPr>
              <w:lastRenderedPageBreak/>
              <w:t>Quy hoạch thủy điện nhỏ toàn quốc trên địa bàn tỉnh Đắk Nông.</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lastRenderedPageBreak/>
              <w:t>Đang đầu tư</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 xml:space="preserve">Thuộc Kết luận số </w:t>
            </w:r>
            <w:r>
              <w:rPr>
                <w:rFonts w:ascii="Times New Roman" w:eastAsia="Times New Roman" w:hAnsi="Times New Roman" w:cs="Times New Roman"/>
              </w:rPr>
              <w:lastRenderedPageBreak/>
              <w:t>1027/KL-TTCP</w:t>
            </w:r>
          </w:p>
        </w:tc>
      </w:tr>
      <w:tr w:rsidR="003C3870" w:rsidTr="003C3870">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lastRenderedPageBreak/>
              <w:t>3</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Đắk Glun 3</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Thủy điện nhỏ</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7,1</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2026-2030</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267</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22kV</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 xml:space="preserve">Đầu nối vào lưới điện 22kV khu vực dự án; quá trình thực hiện dự án sẽ xác định </w:t>
            </w:r>
            <w:r>
              <w:rPr>
                <w:rFonts w:ascii="Times New Roman" w:eastAsia="Times New Roman" w:hAnsi="Times New Roman" w:cs="Times New Roman"/>
              </w:rPr>
              <w:lastRenderedPageBreak/>
              <w:t>cụ thể vị trí đầu nối</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lastRenderedPageBreak/>
              <w:t xml:space="preserve">Được phê duyệt thuộc Quy hoạch thủy điện nhỏ toàn quốc trên địa bàn tỉnh </w:t>
            </w:r>
            <w:r>
              <w:rPr>
                <w:rFonts w:ascii="Times New Roman" w:eastAsia="Times New Roman" w:hAnsi="Times New Roman" w:cs="Times New Roman"/>
              </w:rPr>
              <w:lastRenderedPageBreak/>
              <w:t>Đắk Nông.</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lastRenderedPageBreak/>
              <w:t>Đang đầu tư</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Thuộc Kết luận số 1027/KL-TTCP</w:t>
            </w:r>
          </w:p>
        </w:tc>
      </w:tr>
      <w:tr w:rsidR="003C3870" w:rsidTr="003C3870">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lastRenderedPageBreak/>
              <w:t>4</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Đắk Buk So 1</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Thủy điện nhỏ</w:t>
            </w:r>
          </w:p>
        </w:tc>
        <w:tc>
          <w:tcPr>
            <w:tcW w:w="845"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3</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2026-2030</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64,57</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22kV</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Đầu nối vào lưới điện 22kV khu vực dự án; quá trình thực hiện dự án sẽ xác định cụ thể vị trí đầu nối</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Được phê duyệt thuộc Quy hoạch thủy điện nhỏ tỉnh Đắk Nông;</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Tiến độ theo chủ trương đầu tư, đến tháng 6/</w:t>
            </w:r>
            <w:r>
              <w:rPr>
                <w:rFonts w:ascii="Times New Roman" w:eastAsia="Times New Roman" w:hAnsi="Times New Roman" w:cs="Times New Roman"/>
              </w:rPr>
              <w:t>2017</w:t>
            </w:r>
          </w:p>
        </w:tc>
        <w:tc>
          <w:tcPr>
            <w:tcW w:w="844" w:type="dxa"/>
          </w:tcPr>
          <w:p w:rsidR="003C3870" w:rsidRDefault="00083AC3">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Thuộc quy hoạch thăm dò, khai thác, chế biến và sử dụng bô xít</w:t>
            </w:r>
          </w:p>
        </w:tc>
      </w:tr>
    </w:tbl>
    <w:p w:rsidR="003C3870" w:rsidRDefault="003C3870">
      <w:pPr>
        <w:rPr>
          <w:rFonts w:ascii="Times New Roman" w:eastAsia="Times New Roman" w:hAnsi="Times New Roman" w:cs="Times New Roman"/>
        </w:rPr>
      </w:pPr>
    </w:p>
    <w:sectPr w:rsidR="003C3870">
      <w:headerReference w:type="even" r:id="rId10"/>
      <w:footerReference w:type="default" r:id="rId11"/>
      <w:headerReference w:type="first" r:id="rId12"/>
      <w:pgSz w:w="11907" w:h="16839"/>
      <w:pgMar w:top="1418" w:right="1418" w:bottom="1418" w:left="141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83AC3" w:rsidRDefault="00083AC3">
      <w:pPr>
        <w:spacing w:after="0"/>
      </w:pPr>
      <w:r>
        <w:separator/>
      </w:r>
    </w:p>
  </w:endnote>
  <w:endnote w:type="continuationSeparator" w:id="0">
    <w:p w:rsidR="00083AC3" w:rsidRDefault="00083AC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mbria">
    <w:panose1 w:val="02040503050406030204"/>
    <w:charset w:val="00"/>
    <w:family w:val="roman"/>
    <w:pitch w:val="variable"/>
    <w:sig w:usb0="E00006FF" w:usb1="420024FF" w:usb2="02000000" w:usb3="00000000" w:csb0="0000019F" w:csb1="00000000"/>
    <w:embedRegular r:id="rId1" w:fontKey="{5C6CEECB-C1E2-4602-9276-369C775F4192}"/>
    <w:embedBold r:id="rId2" w:fontKey="{18F50980-5AC2-42C4-825F-526CFD4B6B3B}"/>
    <w:embedItalic r:id="rId3" w:fontKey="{505B0018-3F58-4941-85C4-5D90B25F0194}"/>
  </w:font>
  <w:font w:name="Calibri">
    <w:panose1 w:val="020F0502020204030204"/>
    <w:charset w:val="00"/>
    <w:family w:val="swiss"/>
    <w:pitch w:val="variable"/>
    <w:sig w:usb0="E4002EFF" w:usb1="C200247B" w:usb2="00000009" w:usb3="00000000" w:csb0="000001FF" w:csb1="00000000"/>
    <w:embedRegular r:id="rId4" w:fontKey="{949E6D1B-97DC-466D-89C7-11B61F4699D1}"/>
    <w:embedBold r:id="rId5" w:fontKey="{73700AE9-7B4A-4A59-87DE-3631BA526484}"/>
    <w:embedItalic r:id="rId6" w:fontKey="{CBE31997-4A5E-43D0-84B0-27AA78F9DCC4}"/>
  </w:font>
  <w:font w:name="Times New Roman">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embedRegular r:id="rId7" w:fontKey="{D90BF55C-0E63-4503-ACAF-772F85F482DF}"/>
    <w:embedBold r:id="rId8" w:fontKey="{F22D1E27-388E-4873-9684-02B252562504}"/>
    <w:embedItalic r:id="rId9" w:fontKey="{5FF0A394-B9BB-4FD5-A983-5546CB8A33AD}"/>
    <w:embedBoldItalic r:id="rId10" w:fontKey="{A25BBB6A-EC51-4BD7-ADBF-FC5A4683942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C3870" w:rsidRDefault="003C3870"/>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83AC3" w:rsidRDefault="00083AC3">
      <w:pPr>
        <w:spacing w:after="0"/>
      </w:pPr>
      <w:r>
        <w:separator/>
      </w:r>
    </w:p>
  </w:footnote>
  <w:footnote w:type="continuationSeparator" w:id="0">
    <w:p w:rsidR="00083AC3" w:rsidRDefault="00083AC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C3870" w:rsidRDefault="00083AC3">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49" type="#_x0000_t136" style="position:absolute;margin-left:0;margin-top:0;width:261.3pt;height:120.25pt;rotation:315;z-index:-251658240;visibility:visible;mso-position-horizontal:center;mso-position-horizontal-relative:margin;mso-position-vertical:center;mso-position-vertical-relative:margin" fillcolor="red" stroked="f">
          <v:fill opacity=".5"/>
          <v:textpath style="font-family:&quot;&amp;quot&quot;;font-size:100pt" string="TRIAL"/>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C3870" w:rsidRDefault="00083AC3">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50" type="#_x0000_t136" style="position:absolute;margin-left:0;margin-top:0;width:261.3pt;height:120.25pt;rotation:315;z-index:-251659264;visibility:visible;mso-position-horizontal:center;mso-position-horizontal-relative:margin;mso-position-vertical:center;mso-position-vertical-relative:margin" fillcolor="red" stroked="f">
          <v:fill opacity=".5"/>
          <v:textpath style="font-family:&quot;&amp;quot&quot;;font-size:100pt" string="TRIAL"/>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60D49"/>
    <w:multiLevelType w:val="multilevel"/>
    <w:tmpl w:val="B4C8EEF6"/>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3870"/>
    <w:rsid w:val="00083AC3"/>
    <w:rsid w:val="003C3870"/>
    <w:rsid w:val="007E5E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0E34FA9"/>
  <w15:docId w15:val="{BFE15D4F-7C0E-4392-8FBB-9C2F75A36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mbria" w:hAnsi="Cambria" w:cs="Cambria"/>
        <w:sz w:val="24"/>
        <w:szCs w:val="24"/>
        <w:lang w:val="en" w:eastAsia="en-US" w:bidi="ar-SA"/>
      </w:rPr>
    </w:rPrDefault>
    <w:pPrDefault>
      <w:pPr>
        <w:spacing w:after="20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0"/>
      <w:outlineLvl w:val="0"/>
    </w:pPr>
    <w:rPr>
      <w:rFonts w:ascii="Calibri" w:eastAsia="Calibri" w:hAnsi="Calibri" w:cs="Calibri"/>
      <w:b/>
      <w:bCs/>
      <w:color w:val="4F81BD"/>
      <w:sz w:val="32"/>
      <w:szCs w:val="32"/>
    </w:rPr>
  </w:style>
  <w:style w:type="paragraph" w:styleId="Heading2">
    <w:name w:val="heading 2"/>
    <w:basedOn w:val="Normal"/>
    <w:next w:val="Normal"/>
    <w:pPr>
      <w:keepNext/>
      <w:keepLines/>
      <w:spacing w:before="200" w:after="0"/>
      <w:outlineLvl w:val="1"/>
    </w:pPr>
    <w:rPr>
      <w:rFonts w:ascii="Calibri" w:eastAsia="Calibri" w:hAnsi="Calibri" w:cs="Calibri"/>
      <w:b/>
      <w:bCs/>
      <w:color w:val="4F81BD"/>
      <w:sz w:val="28"/>
      <w:szCs w:val="28"/>
    </w:rPr>
  </w:style>
  <w:style w:type="paragraph" w:styleId="Heading3">
    <w:name w:val="heading 3"/>
    <w:basedOn w:val="Normal"/>
    <w:next w:val="Normal"/>
    <w:pPr>
      <w:keepNext/>
      <w:keepLines/>
      <w:spacing w:before="200" w:after="0"/>
      <w:outlineLvl w:val="2"/>
    </w:pPr>
    <w:rPr>
      <w:rFonts w:ascii="Calibri" w:eastAsia="Calibri" w:hAnsi="Calibri" w:cs="Calibri"/>
      <w:b/>
      <w:bCs/>
      <w:color w:val="4F81BD"/>
    </w:rPr>
  </w:style>
  <w:style w:type="paragraph" w:styleId="Heading4">
    <w:name w:val="heading 4"/>
    <w:basedOn w:val="Normal"/>
    <w:next w:val="Normal"/>
    <w:pPr>
      <w:keepNext/>
      <w:keepLines/>
      <w:spacing w:before="200" w:after="0"/>
      <w:outlineLvl w:val="3"/>
    </w:pPr>
    <w:rPr>
      <w:rFonts w:ascii="Calibri" w:eastAsia="Calibri" w:hAnsi="Calibri" w:cs="Calibri"/>
      <w:i/>
      <w:iCs/>
      <w:color w:val="4F81BD"/>
    </w:rPr>
  </w:style>
  <w:style w:type="paragraph" w:styleId="Heading5">
    <w:name w:val="heading 5"/>
    <w:basedOn w:val="Normal"/>
    <w:next w:val="Normal"/>
    <w:pPr>
      <w:keepNext/>
      <w:keepLines/>
      <w:spacing w:before="200" w:after="0"/>
      <w:outlineLvl w:val="4"/>
    </w:pPr>
    <w:rPr>
      <w:rFonts w:ascii="Calibri" w:eastAsia="Calibri" w:hAnsi="Calibri" w:cs="Calibri"/>
      <w:color w:val="4F81BD"/>
    </w:rPr>
  </w:style>
  <w:style w:type="paragraph" w:styleId="Heading6">
    <w:name w:val="heading 6"/>
    <w:basedOn w:val="Normal"/>
    <w:next w:val="Normal"/>
    <w:pPr>
      <w:keepNext/>
      <w:keepLines/>
      <w:spacing w:before="200" w:after="0"/>
      <w:outlineLvl w:val="5"/>
    </w:pPr>
    <w:rPr>
      <w:rFonts w:ascii="Calibri" w:eastAsia="Calibri" w:hAnsi="Calibri" w:cs="Calibri"/>
      <w:color w:val="4F81BD"/>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240"/>
      <w:jc w:val="center"/>
    </w:pPr>
    <w:rPr>
      <w:rFonts w:ascii="Calibri" w:eastAsia="Calibri" w:hAnsi="Calibri" w:cs="Calibri"/>
      <w:b/>
      <w:bCs/>
      <w:color w:val="335B8A"/>
      <w:sz w:val="36"/>
      <w:szCs w:val="36"/>
    </w:rPr>
  </w:style>
  <w:style w:type="paragraph" w:styleId="BodyText">
    <w:name w:val="Body Text"/>
    <w:basedOn w:val="Normal"/>
    <w:qFormat/>
    <w:pPr>
      <w:spacing w:before="180" w:after="180"/>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Title">
    <w:name w:val="Abstract Title"/>
    <w:basedOn w:val="Normal"/>
    <w:next w:val="Abstract"/>
    <w:qFormat/>
    <w:pPr>
      <w:keepNext/>
      <w:keepLines/>
      <w:spacing w:before="300" w:after="0"/>
      <w:jc w:val="center"/>
    </w:pPr>
    <w:rPr>
      <w:b/>
      <w:color w:val="345A8A"/>
      <w:sz w:val="20"/>
      <w:szCs w:val="20"/>
    </w:rPr>
  </w:style>
  <w:style w:type="paragraph" w:customStyle="1" w:styleId="Abstract">
    <w:name w:val="Abstract"/>
    <w:basedOn w:val="Normal"/>
    <w:next w:val="BodyText"/>
    <w:qFormat/>
    <w:pPr>
      <w:keepNext/>
      <w:keepLines/>
      <w:spacing w:before="1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paragraph" w:customStyle="1" w:styleId="FootnoteBlockText">
    <w:name w:val="Footnote Block Text"/>
    <w:uiPriority w:val="9"/>
    <w:unhideWhenUsed/>
    <w:qFormat/>
    <w:pPr>
      <w:spacing w:before="100" w:after="100"/>
      <w:ind w:left="480" w:right="480"/>
    </w:pPr>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4" w:space="0" w:color="auto"/>
        </w:tcBorders>
        <w:vAlign w:val="bottom"/>
      </w:tcPr>
    </w:tblStyle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customStyle="1" w:styleId="SectionNumber">
    <w:name w:val="Section Number"/>
    <w:basedOn w:val="CaptionChar"/>
  </w:style>
  <w:style w:type="character" w:styleId="FootnoteReference">
    <w:name w:val="footnote reference"/>
    <w:basedOn w:val="CaptionChar"/>
    <w:rPr>
      <w:vertAlign w:val="superscript"/>
    </w:rPr>
  </w:style>
  <w:style w:type="character" w:styleId="Hyperlink">
    <w:name w:val="Hyperlink"/>
    <w:basedOn w:val="CaptionChar"/>
    <w:rPr>
      <w:color w:val="4F81BD" w:themeColor="accent1"/>
    </w:rPr>
  </w:style>
  <w:style w:type="paragraph" w:styleId="TOCHeading">
    <w:name w:val="TOC Heading"/>
    <w:basedOn w:val="Heading1"/>
    <w:next w:val="BodyText"/>
    <w:uiPriority w:val="39"/>
    <w:unhideWhenUsed/>
    <w:qFormat/>
    <w:pPr>
      <w:spacing w:before="240" w:line="259" w:lineRule="auto"/>
      <w:outlineLvl w:val="9"/>
    </w:pPr>
    <w:rPr>
      <w:rFonts w:asciiTheme="majorHAnsi" w:eastAsiaTheme="majorEastAsia" w:hAnsiTheme="majorHAnsi" w:cstheme="majorBidi"/>
      <w:b w:val="0"/>
      <w:bCs w:val="0"/>
      <w:color w:val="365F91" w:themeColor="accent1" w:themeShade="BF"/>
    </w:rPr>
  </w:style>
  <w:style w:type="paragraph" w:customStyle="1" w:styleId="SourceCode">
    <w:name w:val="Source Code"/>
    <w:basedOn w:val="Normal"/>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b/>
      <w:color w:val="008000"/>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color w:val="008000"/>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table" w:styleId="TableGrid">
    <w:name w:val="Table Grid"/>
    <w:basedOn w:val="TableNormal"/>
    <w:tblPr>
      <w:tblBorders>
        <w:top w:val="single" w:sz="4" w:space="0" w:color="000000"/>
        <w:bottom w:val="single" w:sz="4" w:space="0" w:color="000000"/>
        <w:right w:val="single" w:sz="4" w:space="0" w:color="000000"/>
        <w:insideH w:val="single" w:sz="4" w:space="0" w:color="000000"/>
        <w:insideV w:val="single" w:sz="4" w:space="0" w:color="000000"/>
      </w:tblBorders>
    </w:tblPr>
  </w:style>
  <w:style w:type="paragraph" w:styleId="Subtitle">
    <w:name w:val="Subtitle"/>
    <w:basedOn w:val="Normal"/>
    <w:next w:val="Normal"/>
    <w:pPr>
      <w:keepNext/>
      <w:keepLines/>
      <w:spacing w:before="240" w:after="240"/>
      <w:jc w:val="center"/>
    </w:pPr>
    <w:rPr>
      <w:rFonts w:ascii="Calibri" w:eastAsia="Calibri" w:hAnsi="Calibri" w:cs="Calibri"/>
      <w:b/>
      <w:bCs/>
      <w:color w:val="335B8A"/>
      <w:sz w:val="30"/>
      <w:szCs w:val="30"/>
    </w:rPr>
  </w:style>
  <w:style w:type="table" w:customStyle="1" w:styleId="a">
    <w:basedOn w:val="TableNormal"/>
    <w:tblPr>
      <w:tblStyleRowBandSize w:val="1"/>
      <w:tblStyleColBandSize w:val="1"/>
    </w:tblPr>
    <w:tblStylePr w:type="firstRow">
      <w:tblPr/>
      <w:tcPr>
        <w:tcBorders>
          <w:bottom w:val="single" w:sz="4" w:space="0" w:color="000000"/>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MJNZjLoaCSYjejXczJS94T/DqQ==">CgMxLjA4AHIhMTJfU095d05UQVF2YkltcGZoRXc1VGhmMVktdlBWU2lx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3230</Words>
  <Characters>18414</Characters>
  <Application>Microsoft Office Word</Application>
  <DocSecurity>0</DocSecurity>
  <Lines>153</Lines>
  <Paragraphs>43</Paragraphs>
  <ScaleCrop>false</ScaleCrop>
  <Company/>
  <LinksUpToDate>false</LinksUpToDate>
  <CharactersWithSpaces>21601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Mrs Thuy</dc:creator>
  <cp:lastModifiedBy>phamtien090@gmail.com</cp:lastModifiedBy>
  <cp:revision>3</cp:revision>
  <dcterms:created xsi:type="dcterms:W3CDTF">2026-01-21T09:35:00Z</dcterms:created>
  <dcterms:modified xsi:type="dcterms:W3CDTF">2026-01-21T09:35:00Z</dcterms:modified>
</cp:coreProperties>
</file>